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64" w:rsidRPr="00CE082F" w:rsidRDefault="003B1964" w:rsidP="003B1964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Сведения об официальном оппоненте </w:t>
      </w:r>
    </w:p>
    <w:p w:rsidR="00E81375" w:rsidRDefault="003B1964" w:rsidP="003B1964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по диссертации </w:t>
      </w:r>
      <w:proofErr w:type="spellStart"/>
      <w:r>
        <w:rPr>
          <w:rFonts w:ascii="Times New Roman" w:hAnsi="Times New Roman"/>
          <w:sz w:val="24"/>
          <w:szCs w:val="24"/>
        </w:rPr>
        <w:t>Янгляевой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Марины Михайловны </w:t>
      </w:r>
    </w:p>
    <w:p w:rsidR="003B1964" w:rsidRPr="0038563B" w:rsidRDefault="003B1964" w:rsidP="003B1964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8563B">
        <w:rPr>
          <w:rFonts w:ascii="Times New Roman" w:hAnsi="Times New Roman"/>
          <w:sz w:val="24"/>
          <w:szCs w:val="24"/>
        </w:rPr>
        <w:t xml:space="preserve">«Политическая </w:t>
      </w:r>
      <w:proofErr w:type="spellStart"/>
      <w:r w:rsidRPr="0038563B">
        <w:rPr>
          <w:rFonts w:ascii="Times New Roman" w:hAnsi="Times New Roman"/>
          <w:sz w:val="24"/>
          <w:szCs w:val="24"/>
        </w:rPr>
        <w:t>медиагеография</w:t>
      </w:r>
      <w:proofErr w:type="spellEnd"/>
      <w:r w:rsidRPr="0038563B">
        <w:rPr>
          <w:rFonts w:ascii="Times New Roman" w:hAnsi="Times New Roman"/>
          <w:sz w:val="24"/>
          <w:szCs w:val="24"/>
        </w:rPr>
        <w:t xml:space="preserve"> как основа технологии проектирования и прогнозирования политических процессов», представленной </w:t>
      </w:r>
    </w:p>
    <w:p w:rsidR="003B1964" w:rsidRPr="0038563B" w:rsidRDefault="003B1964" w:rsidP="003B1964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8563B">
        <w:rPr>
          <w:rFonts w:ascii="Times New Roman" w:hAnsi="Times New Roman"/>
          <w:sz w:val="24"/>
          <w:szCs w:val="24"/>
        </w:rPr>
        <w:t xml:space="preserve">на соискание ученой степени доктора наук </w:t>
      </w:r>
    </w:p>
    <w:p w:rsidR="003B1964" w:rsidRPr="000A3289" w:rsidRDefault="003B1964" w:rsidP="003B1964">
      <w:pPr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38563B">
        <w:rPr>
          <w:rFonts w:ascii="Times New Roman" w:hAnsi="Times New Roman"/>
          <w:sz w:val="24"/>
          <w:szCs w:val="24"/>
        </w:rPr>
        <w:t>по научной специальности 5.5.2. – Политические институты, процессы, технологии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02"/>
      </w:tblGrid>
      <w:tr w:rsidR="003B1964" w:rsidRPr="00564E81" w:rsidTr="00FC5E3C">
        <w:tc>
          <w:tcPr>
            <w:tcW w:w="5211" w:type="dxa"/>
          </w:tcPr>
          <w:p w:rsidR="003B1964" w:rsidRPr="00564E81" w:rsidRDefault="003B1964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– при наличии) официального оппонента</w:t>
            </w:r>
          </w:p>
        </w:tc>
        <w:tc>
          <w:tcPr>
            <w:tcW w:w="4502" w:type="dxa"/>
          </w:tcPr>
          <w:p w:rsidR="003B1964" w:rsidRPr="00564E81" w:rsidRDefault="003B1964" w:rsidP="00FC5E3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Брега Александр Васильевич</w:t>
            </w:r>
          </w:p>
        </w:tc>
      </w:tr>
      <w:tr w:rsidR="003B1964" w:rsidRPr="00564E81" w:rsidTr="00FC5E3C">
        <w:tc>
          <w:tcPr>
            <w:tcW w:w="5211" w:type="dxa"/>
          </w:tcPr>
          <w:p w:rsidR="003B1964" w:rsidRPr="00564E81" w:rsidRDefault="003B1964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Ученая степень официального оппонента (с указанием отрасли науки, по которой официальным оппонентом защищена диссертация) </w:t>
            </w:r>
          </w:p>
        </w:tc>
        <w:tc>
          <w:tcPr>
            <w:tcW w:w="4502" w:type="dxa"/>
          </w:tcPr>
          <w:p w:rsidR="003B1964" w:rsidRPr="00564E81" w:rsidRDefault="003B1964" w:rsidP="00E81375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политических</w:t>
            </w: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наук (</w:t>
            </w:r>
            <w:r w:rsidR="00E81375" w:rsidRPr="00E81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23.00.02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097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Политические </w:t>
            </w:r>
            <w:r w:rsidR="00E81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институты, процессы и технологии</w:t>
            </w: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B1964" w:rsidRPr="00564E81" w:rsidTr="00FC5E3C">
        <w:tc>
          <w:tcPr>
            <w:tcW w:w="5211" w:type="dxa"/>
          </w:tcPr>
          <w:p w:rsidR="003B1964" w:rsidRPr="00564E81" w:rsidRDefault="003B1964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Ученое звание официального оппонента</w:t>
            </w:r>
          </w:p>
        </w:tc>
        <w:tc>
          <w:tcPr>
            <w:tcW w:w="4502" w:type="dxa"/>
          </w:tcPr>
          <w:p w:rsidR="003B1964" w:rsidRPr="009E2850" w:rsidRDefault="005F6D27" w:rsidP="00FC5E3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="003B19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рофессор</w:t>
            </w:r>
          </w:p>
        </w:tc>
      </w:tr>
      <w:tr w:rsidR="003B1964" w:rsidRPr="00564E81" w:rsidTr="00FC5E3C">
        <w:tc>
          <w:tcPr>
            <w:tcW w:w="5211" w:type="dxa"/>
          </w:tcPr>
          <w:p w:rsidR="003B1964" w:rsidRPr="00564E81" w:rsidRDefault="003B1964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организации, являющейся основным местом работы официального оппонента на момент представления им отзыва в диссертационный совет</w:t>
            </w:r>
          </w:p>
        </w:tc>
        <w:tc>
          <w:tcPr>
            <w:tcW w:w="4502" w:type="dxa"/>
          </w:tcPr>
          <w:p w:rsidR="003B1964" w:rsidRPr="009E2850" w:rsidRDefault="00E81375" w:rsidP="00FC5E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Федерации»</w:t>
            </w:r>
          </w:p>
        </w:tc>
      </w:tr>
      <w:tr w:rsidR="003B1964" w:rsidRPr="00564E81" w:rsidTr="00FC5E3C">
        <w:tc>
          <w:tcPr>
            <w:tcW w:w="5211" w:type="dxa"/>
          </w:tcPr>
          <w:p w:rsidR="003B1964" w:rsidRPr="00564E81" w:rsidRDefault="003B1964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подразделения, должность</w:t>
            </w:r>
          </w:p>
        </w:tc>
        <w:tc>
          <w:tcPr>
            <w:tcW w:w="4502" w:type="dxa"/>
          </w:tcPr>
          <w:p w:rsidR="003B1964" w:rsidRPr="009E2850" w:rsidRDefault="00E81375" w:rsidP="00FC5E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sz w:val="24"/>
                <w:szCs w:val="24"/>
              </w:rPr>
              <w:t>Кафедра политологии Факультета социальных наук и массовых коммуникаций</w:t>
            </w:r>
          </w:p>
        </w:tc>
      </w:tr>
      <w:tr w:rsidR="003B1964" w:rsidRPr="00564E81" w:rsidTr="00FC5E3C">
        <w:tc>
          <w:tcPr>
            <w:tcW w:w="5211" w:type="dxa"/>
          </w:tcPr>
          <w:p w:rsidR="003B1964" w:rsidRPr="00564E81" w:rsidRDefault="003B1964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Список основных публикаций официального оппонента в соответствующей сфере исследования в рецензируемых научных изданиях за последние 5 лет (не более 15 публикаций)</w:t>
            </w:r>
          </w:p>
        </w:tc>
        <w:tc>
          <w:tcPr>
            <w:tcW w:w="4502" w:type="dxa"/>
          </w:tcPr>
          <w:p w:rsidR="00433D5C" w:rsidRPr="00433D5C" w:rsidRDefault="003B1964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433D5C"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Брега А. В., Брега Г.В.  Социальные медиа как инструмент политического участия и противоборства // Социально-гуманитарные знания. 2024. № 7. С. 133-137.</w:t>
            </w:r>
          </w:p>
          <w:p w:rsidR="00433D5C" w:rsidRPr="00433D5C" w:rsidRDefault="00433D5C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Михайленок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 М., Брега А. В., Малышева Г. А., Назаренко А. 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Никовская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И., Воронкова О. А.,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Щенина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 Г.,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Люблинский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Шиманская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 С., Макушина Л. В., Митрофанова А. В.  Связь онтологии сетевой теории с исследованием социально-политических отношений // Социально-гуманитарные знания. 2024. № 4. С. 137-151.</w:t>
            </w:r>
          </w:p>
          <w:p w:rsidR="00433D5C" w:rsidRPr="00433D5C" w:rsidRDefault="00433D5C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Михайленок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 М., Малышева Г. А., Воронкова О. А., Брега А. В., Назаренко А. 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Никовская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И.,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Люблинский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Щенина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 Г., Митрофанова А. 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Шиманская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 С., Макушина Л. В. 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Разноформенные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проявления политических отношений в сетевом обществе (материалы круглого стола) // Социально-гуманитарные знания. 2023. № 3. С. 101-113.</w:t>
            </w:r>
          </w:p>
          <w:p w:rsidR="00433D5C" w:rsidRPr="00433D5C" w:rsidRDefault="00433D5C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Михайленок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 М., Брега А. В., Назаренко А. 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Щенина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 Г., Воронкова О. А.,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Люблинский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Макушина Л. В., Малышева Г. А., Москвин Л. Б.,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Шиманская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 С., Митрофанова А. В.  Сетевой подход в исследовании политических отношений: онтологический и методологический аспекты (материалы круглого стола) // Социально-гуманитарные знания. 2023. № 12. С. 152-166. </w:t>
            </w:r>
          </w:p>
          <w:p w:rsidR="00433D5C" w:rsidRPr="00433D5C" w:rsidRDefault="00433D5C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Брега А. В., Брега Г.В. Модели структурирования элиты в современной России // Вестник Московского государственного лингвистического университета. Общественные науки. 2022.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1(486). С. 19–28.</w:t>
            </w:r>
          </w:p>
          <w:p w:rsidR="00433D5C" w:rsidRPr="00433D5C" w:rsidRDefault="00433D5C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Михайленок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О.М., Брега А.В.,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Люблинский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В.В., Зеленко Б.И., Воронкова О.А., Назаренко А.В.,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Щенина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О.Г., Малышева Г.А.,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Никовская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Л.И.,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Шиманская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Э.С., Митрофанова А.В.,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Яжборовская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И.С., Макушина Л.В. Политические отношения в сетях: система или сообщество // Социально-гуманитарные знания. 2021. № 1. С. 122-163.</w:t>
            </w:r>
          </w:p>
          <w:p w:rsidR="00433D5C" w:rsidRPr="00433D5C" w:rsidRDefault="00433D5C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Брега А. В. Политико-правовые аспекты вхождения Крымского полуострова в состав Российской Федерации: между легальностью и легитимностью // Гуманитарные науки. Вестник Финансового университета. 2020. №. 10(1). С. 84-89.</w:t>
            </w:r>
          </w:p>
          <w:p w:rsidR="00433D5C" w:rsidRPr="00433D5C" w:rsidRDefault="00433D5C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Брега А. В. Политическое конструирование идентичности в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массмедиа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социальных сетях: неприятие и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Социально-гуманитарные знания. 2020. № 2. С. 234-246.</w:t>
            </w:r>
          </w:p>
          <w:p w:rsidR="00433D5C" w:rsidRPr="00433D5C" w:rsidRDefault="00433D5C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Михайленок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О.М., Малышева Г.А.,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Щенина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О.Г., Зеленко Б.И., Воронкова О.А., Митрофанова А.В.,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Шиманская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Э.С., Брега А.В.,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Никовская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Л.И.,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Люблинский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В.В., Макушина Л.В., Назаренко А.В. Социальная реальность и политические отношения в контексте сетевой парадигмы: проблемы и перспективы исследования // Социально-гуманитарные знания. 2020. № 3. С. 201-241.</w:t>
            </w:r>
          </w:p>
          <w:p w:rsidR="00433D5C" w:rsidRPr="00433D5C" w:rsidRDefault="00433D5C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Брега А. В., Афанасьева Д.А.,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Машьянов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Д.А.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Межпоколенческий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транзит элиты в современной России: 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вероятный сценарий и </w:t>
            </w:r>
            <w:proofErr w:type="spellStart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рискогенные</w:t>
            </w:r>
            <w:proofErr w:type="spellEnd"/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тенденции // Вестник Московского государственного лингвистического университета. Общественные науки. 2019. №2 (835). С. 18-27.</w:t>
            </w:r>
          </w:p>
          <w:p w:rsidR="003B1964" w:rsidRDefault="00433D5C" w:rsidP="00433D5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433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Брега А. В. Российская модель взаимодействия власти и бизнеса: между плюрализмом и корпоративизмом // Социально-гуманитарные знания. 2019. №6. С. 117-129.</w:t>
            </w:r>
          </w:p>
          <w:p w:rsidR="003B1964" w:rsidRPr="00564E81" w:rsidRDefault="003B1964" w:rsidP="00FC5E3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1964" w:rsidRPr="00EE4E40" w:rsidRDefault="003B1964" w:rsidP="003B1964">
      <w:pPr>
        <w:pStyle w:val="14"/>
        <w:tabs>
          <w:tab w:val="left" w:pos="720"/>
        </w:tabs>
        <w:spacing w:before="120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</w:p>
    <w:p w:rsidR="003B1964" w:rsidRPr="00677A6C" w:rsidRDefault="003B1964" w:rsidP="003B1964"/>
    <w:p w:rsidR="003B1964" w:rsidRDefault="003B1964" w:rsidP="003B1964"/>
    <w:p w:rsidR="003E4910" w:rsidRDefault="003E4910"/>
    <w:sectPr w:rsidR="003E4910" w:rsidSect="00FB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4"/>
    <w:rsid w:val="003B1964"/>
    <w:rsid w:val="003E4910"/>
    <w:rsid w:val="00433D5C"/>
    <w:rsid w:val="005F6D27"/>
    <w:rsid w:val="006F1488"/>
    <w:rsid w:val="00E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CBCD-EF5D-4FE1-A9B0-D51D3A9D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6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sid w:val="003B1964"/>
    <w:pPr>
      <w:spacing w:after="0" w:line="240" w:lineRule="auto"/>
    </w:pPr>
    <w:rPr>
      <w:rFonts w:ascii="Arial" w:eastAsia="Calibri" w:hAnsi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2024-12-08T17:52:00Z</dcterms:created>
  <dcterms:modified xsi:type="dcterms:W3CDTF">2024-12-09T10:30:00Z</dcterms:modified>
</cp:coreProperties>
</file>