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" w:line="240" w:lineRule="auto"/>
        <w:ind w:left="0" w:right="113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Приложение 3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482" w:lineRule="auto"/>
        <w:ind w:left="1537" w:right="597" w:hanging="394.00000000000006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Требования к оформлению материалов для публикации в сборнике «Юность Науки» (оформленные статьи участники круглого стола предоставляют по желанию)</w:t>
      </w:r>
    </w:p>
    <w:p w:rsidR="00000000" w:rsidDel="00000000" w:rsidP="00000000" w:rsidRDefault="00000000" w:rsidRPr="00000000" w14:paraId="00000004">
      <w:pPr>
        <w:spacing w:line="249" w:lineRule="auto"/>
        <w:ind w:left="1294" w:right="1285" w:firstLine="0"/>
        <w:jc w:val="center"/>
        <w:rPr>
          <w:b w:val="1"/>
          <w:color w:val="ff0000"/>
          <w:sz w:val="28"/>
          <w:szCs w:val="28"/>
        </w:rPr>
      </w:pPr>
      <w:r w:rsidDel="00000000" w:rsidR="00000000" w:rsidRPr="00000000">
        <w:rPr>
          <w:b w:val="1"/>
          <w:color w:val="ff0000"/>
          <w:sz w:val="28"/>
          <w:szCs w:val="28"/>
          <w:rtl w:val="0"/>
        </w:rPr>
        <w:t xml:space="preserve">ВНИМАНИЕ</w:t>
      </w:r>
    </w:p>
    <w:p w:rsidR="00000000" w:rsidDel="00000000" w:rsidP="00000000" w:rsidRDefault="00000000" w:rsidRPr="00000000" w14:paraId="00000005">
      <w:pPr>
        <w:spacing w:line="249" w:lineRule="auto"/>
        <w:ind w:left="1294" w:right="1285" w:firstLine="0"/>
        <w:jc w:val="center"/>
        <w:rPr>
          <w:b w:val="1"/>
          <w:color w:val="ff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before="3" w:line="237" w:lineRule="auto"/>
        <w:ind w:left="0" w:right="113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Материалы, содержание и оформление которых не удовлетворяют перечисленным требованиям, к изданию не принимаются.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37" w:lineRule="auto"/>
        <w:ind w:left="0" w:right="114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Все материалы проходят проверку в системе АНТИПЛАГИАТ.ВУЗ (необходимый процент оригинальности — от 75% и выше).</w:t>
      </w:r>
    </w:p>
    <w:p w:rsidR="00000000" w:rsidDel="00000000" w:rsidP="00000000" w:rsidRDefault="00000000" w:rsidRPr="00000000" w14:paraId="00000009">
      <w:pPr>
        <w:spacing w:before="1" w:lineRule="auto"/>
        <w:ind w:left="0" w:right="115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К статье должен быть приложен отзыв от научного руководителя (с подписью) с рекомендацией к публикации.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0" w:right="115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Оргкомитет оставляет за собой право отбора статей для публикации. В случае прохождения отбора автору будет выслан лицензионный договор (подписание лицензионного договора является обязательным для публикации).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0" w:firstLine="0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Публикации осуществляются на безвозмездной основе.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37" w:lineRule="auto"/>
        <w:ind w:left="0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Материалы должны быть предоставлены в формате </w:t>
      </w:r>
      <w:r w:rsidDel="00000000" w:rsidR="00000000" w:rsidRPr="00000000">
        <w:rPr>
          <w:b w:val="1"/>
          <w:sz w:val="28"/>
          <w:szCs w:val="28"/>
          <w:rtl w:val="0"/>
        </w:rPr>
        <w:t xml:space="preserve">Word </w:t>
      </w:r>
      <w:r w:rsidDel="00000000" w:rsidR="00000000" w:rsidRPr="00000000">
        <w:rPr>
          <w:sz w:val="28"/>
          <w:szCs w:val="28"/>
          <w:rtl w:val="0"/>
        </w:rPr>
        <w:t xml:space="preserve">под Windows (.doc, .docx), наименование файла — по фамилии автора (к примеру «Петров_статья.doc»).</w:t>
      </w:r>
    </w:p>
    <w:p w:rsidR="00000000" w:rsidDel="00000000" w:rsidP="00000000" w:rsidRDefault="00000000" w:rsidRPr="00000000" w14:paraId="00000010">
      <w:pPr>
        <w:spacing w:line="237" w:lineRule="auto"/>
        <w:ind w:left="0" w:firstLine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37" w:lineRule="auto"/>
        <w:ind w:left="0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Формат листа </w:t>
      </w:r>
      <w:r w:rsidDel="00000000" w:rsidR="00000000" w:rsidRPr="00000000">
        <w:rPr>
          <w:b w:val="1"/>
          <w:sz w:val="28"/>
          <w:szCs w:val="28"/>
          <w:rtl w:val="0"/>
        </w:rPr>
        <w:t xml:space="preserve">А4</w:t>
      </w:r>
      <w:r w:rsidDel="00000000" w:rsidR="00000000" w:rsidRPr="00000000">
        <w:rPr>
          <w:sz w:val="28"/>
          <w:szCs w:val="28"/>
          <w:rtl w:val="0"/>
        </w:rPr>
        <w:t xml:space="preserve">; все поля: верхнее, нижнее, внутреннее, снаружи 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2,0 </w:t>
      </w:r>
      <w:r w:rsidDel="00000000" w:rsidR="00000000" w:rsidRPr="00000000">
        <w:rPr>
          <w:sz w:val="28"/>
          <w:szCs w:val="28"/>
          <w:rtl w:val="0"/>
        </w:rPr>
        <w:t xml:space="preserve">см.</w:t>
      </w:r>
    </w:p>
    <w:p w:rsidR="00000000" w:rsidDel="00000000" w:rsidP="00000000" w:rsidRDefault="00000000" w:rsidRPr="00000000" w14:paraId="00000012">
      <w:pPr>
        <w:spacing w:line="242" w:lineRule="auto"/>
        <w:ind w:left="0" w:firstLine="0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Шрифт 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Times New Roman</w:t>
      </w:r>
      <w:r w:rsidDel="00000000" w:rsidR="00000000" w:rsidRPr="00000000">
        <w:rPr>
          <w:sz w:val="28"/>
          <w:szCs w:val="28"/>
          <w:rtl w:val="0"/>
        </w:rPr>
        <w:t xml:space="preserve">; размер 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12</w:t>
      </w:r>
      <w:r w:rsidDel="00000000" w:rsidR="00000000" w:rsidRPr="00000000">
        <w:rPr>
          <w:sz w:val="28"/>
          <w:szCs w:val="28"/>
          <w:rtl w:val="0"/>
        </w:rPr>
        <w:t xml:space="preserve">; красная строка (отступ) 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1,0 </w:t>
      </w:r>
      <w:r w:rsidDel="00000000" w:rsidR="00000000" w:rsidRPr="00000000">
        <w:rPr>
          <w:sz w:val="28"/>
          <w:szCs w:val="28"/>
          <w:rtl w:val="0"/>
        </w:rPr>
        <w:t xml:space="preserve">см; междустрочный интервал — </w:t>
      </w:r>
      <w:r w:rsidDel="00000000" w:rsidR="00000000" w:rsidRPr="00000000">
        <w:rPr>
          <w:b w:val="1"/>
          <w:sz w:val="28"/>
          <w:szCs w:val="28"/>
          <w:rtl w:val="0"/>
        </w:rPr>
        <w:t xml:space="preserve">1,5; </w:t>
      </w:r>
      <w:r w:rsidDel="00000000" w:rsidR="00000000" w:rsidRPr="00000000">
        <w:rPr>
          <w:sz w:val="28"/>
          <w:szCs w:val="28"/>
          <w:rtl w:val="0"/>
        </w:rPr>
        <w:t xml:space="preserve">без нумерации страниц.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  <w:tab w:val="left" w:leader="none" w:pos="823"/>
        </w:tabs>
        <w:spacing w:after="0" w:before="0" w:line="291" w:lineRule="auto"/>
        <w:ind w:left="0" w:right="0" w:firstLine="0"/>
        <w:jc w:val="left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  <w:tab w:val="left" w:leader="none" w:pos="823"/>
        </w:tabs>
        <w:spacing w:after="0" w:before="0" w:line="291" w:lineRule="auto"/>
        <w:ind w:left="0" w:right="0" w:firstLine="0"/>
        <w:jc w:val="left"/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Объ</w:t>
      </w:r>
      <w:r w:rsidDel="00000000" w:rsidR="00000000" w:rsidRPr="00000000">
        <w:rPr>
          <w:b w:val="1"/>
          <w:sz w:val="28"/>
          <w:szCs w:val="28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 </w:t>
      </w:r>
      <w:r w:rsidDel="00000000" w:rsidR="00000000" w:rsidRPr="00000000">
        <w:rPr>
          <w:b w:val="1"/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не более 6 страниц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1"/>
          <w:tab w:val="left" w:leader="none" w:pos="823"/>
        </w:tabs>
        <w:spacing w:after="0" w:before="0" w:line="269" w:lineRule="auto"/>
        <w:ind w:left="0" w:right="0" w:firstLine="0"/>
        <w:jc w:val="left"/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Формулы должны быть выполнены в редакторе Microsoft Equation.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0" w:line="240" w:lineRule="auto"/>
        <w:ind w:left="0" w:right="108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0" w:line="240" w:lineRule="auto"/>
        <w:ind w:left="0" w:right="108" w:firstLine="0"/>
        <w:jc w:val="both"/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Литература оформляется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по Гарвардской системе</w:t>
      </w:r>
      <w:r w:rsidDel="00000000" w:rsidR="00000000" w:rsidRPr="00000000">
        <w:rPr>
          <w:sz w:val="28"/>
          <w:szCs w:val="28"/>
          <w:u w:val="single"/>
          <w:rtl w:val="0"/>
        </w:rPr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тексте да</w:t>
      </w:r>
      <w:r w:rsidDel="00000000" w:rsidR="00000000" w:rsidRPr="00000000">
        <w:rPr>
          <w:sz w:val="28"/>
          <w:szCs w:val="28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тся ссылка на работу в квадратных скобках с указанием фамилии автора, года издания и (если необходимо) страницы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: [Иванов, 2022, с. 32]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литература в конце статьи оформляется по ГОСТу и размещается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в алфавитном порядке </w:t>
      </w:r>
      <w:r w:rsidDel="00000000" w:rsidR="00000000" w:rsidRPr="00000000">
        <w:rPr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сначала русскоязычные издания, далее </w:t>
      </w:r>
      <w:r w:rsidDel="00000000" w:rsidR="00000000" w:rsidRPr="00000000">
        <w:rPr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на иностранных языках, оформленные также по ГОСТу (см. образец).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0" w:line="240" w:lineRule="auto"/>
        <w:ind w:left="0" w:right="116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0" w:line="240" w:lineRule="auto"/>
        <w:ind w:left="0" w:right="116" w:firstLine="0"/>
        <w:jc w:val="both"/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список литературы включаются только РЕЦЕНЗИРУЕМЫЕ источники и литература (научные монографии, статьи в научных журналах и сборниках), при этом только те из них, на которые в тексте есть ссылки в квадратных скобках по Гарвардскому стилю.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1" w:line="240" w:lineRule="auto"/>
        <w:ind w:left="0" w:right="105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23"/>
        </w:tabs>
        <w:spacing w:after="0" w:before="1" w:line="240" w:lineRule="auto"/>
        <w:ind w:left="0" w:right="105" w:firstLine="0"/>
        <w:jc w:val="both"/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список литературы НЕ включаются НЕРЕЦЕНЗИРУЕМЫЕ источники: федеральные законы, распоряжения и постановления правительства и министерств, архивные источники, газетные статьи, альбомы, каталоги, информация с сайтов фирм, министерств и ведомств, компаний, данные социологических исследований, популярные издания классиков </w:t>
      </w:r>
      <w:r w:rsidDel="00000000" w:rsidR="00000000" w:rsidRPr="00000000">
        <w:rPr>
          <w:sz w:val="28"/>
          <w:szCs w:val="28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напр. Ленин, Кант, Пушкин… и т.п.).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Они приводятся автором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single"/>
          <w:shd w:fill="auto" w:val="clear"/>
          <w:vertAlign w:val="baseline"/>
          <w:rtl w:val="0"/>
        </w:rPr>
        <w:t xml:space="preserve">в постраничных сносках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(нумерация арабскими цифрами, сквозная в пределах одной статьи). Оформление представлено в образце.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before="1" w:lineRule="auto"/>
        <w:ind w:left="1270" w:right="1285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ОБРАЗЕЦ ОФОРМЛЕНИЯ МАТЕРИАЛОВ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before="202" w:lineRule="auto"/>
        <w:ind w:left="5019" w:right="111" w:firstLine="3135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Сведения об авторе </w:t>
      </w:r>
    </w:p>
    <w:p w:rsidR="00000000" w:rsidDel="00000000" w:rsidP="00000000" w:rsidRDefault="00000000" w:rsidRPr="00000000" w14:paraId="00000021">
      <w:pPr>
        <w:spacing w:before="202" w:lineRule="auto"/>
        <w:ind w:left="5019" w:right="111" w:firstLine="3135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ФИО, бакалавр (магистрант, аспирант (соискатель)), курс, факультет, выпускающая кафедра</w:t>
      </w:r>
    </w:p>
    <w:p w:rsidR="00000000" w:rsidDel="00000000" w:rsidP="00000000" w:rsidRDefault="00000000" w:rsidRPr="00000000" w14:paraId="00000022">
      <w:pPr>
        <w:spacing w:line="242" w:lineRule="auto"/>
        <w:ind w:left="6714" w:right="112" w:firstLine="1661.0000000000002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Тел., e-mail </w:t>
      </w:r>
    </w:p>
    <w:p w:rsidR="00000000" w:rsidDel="00000000" w:rsidP="00000000" w:rsidRDefault="00000000" w:rsidRPr="00000000" w14:paraId="00000023">
      <w:pPr>
        <w:spacing w:line="242" w:lineRule="auto"/>
        <w:ind w:left="6714" w:right="112" w:firstLine="1661.0000000000002"/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2" w:lineRule="auto"/>
        <w:ind w:left="6714" w:right="112" w:firstLine="1661.0000000000002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Сведения о научном руководителе</w:t>
      </w:r>
    </w:p>
    <w:p w:rsidR="00000000" w:rsidDel="00000000" w:rsidP="00000000" w:rsidRDefault="00000000" w:rsidRPr="00000000" w14:paraId="00000025">
      <w:pPr>
        <w:spacing w:line="242" w:lineRule="auto"/>
        <w:ind w:left="6714" w:right="112" w:firstLine="1661.0000000000002"/>
        <w:jc w:val="righ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2" w:lineRule="auto"/>
        <w:ind w:left="6714" w:right="112" w:firstLine="1661.0000000000002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ФИО, учёная степень, учёное звание </w:t>
        <w:br w:type="textWrapping"/>
        <w:t xml:space="preserve">Тел., e-mail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Style w:val="Heading1"/>
        <w:ind w:left="365" w:right="382" w:firstLine="0"/>
        <w:jc w:val="center"/>
        <w:rPr/>
      </w:pPr>
      <w:r w:rsidDel="00000000" w:rsidR="00000000" w:rsidRPr="00000000">
        <w:rPr>
          <w:rtl w:val="0"/>
        </w:rPr>
        <w:t xml:space="preserve">КОМПЕНСАЦИОННАЯ ПОЛИТИКА В ДЕЯТЕЛЬНОСТИ ОРГАНИЗАЦИИ</w:t>
      </w:r>
    </w:p>
    <w:p w:rsidR="00000000" w:rsidDel="00000000" w:rsidP="00000000" w:rsidRDefault="00000000" w:rsidRPr="00000000" w14:paraId="0000002A">
      <w:pPr>
        <w:spacing w:before="233" w:lineRule="auto"/>
        <w:ind w:left="102" w:firstLine="720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Аннотация. В статье рассматриваются результаты проведённого автором исследования современных средств по мотивации труда и формированию компенсационного пакета организации, а также сравниваются зарубежный и отечественный подходы.</w:t>
      </w:r>
    </w:p>
    <w:p w:rsidR="00000000" w:rsidDel="00000000" w:rsidP="00000000" w:rsidRDefault="00000000" w:rsidRPr="00000000" w14:paraId="0000002B">
      <w:pPr>
        <w:spacing w:before="1" w:lineRule="auto"/>
        <w:ind w:left="822" w:firstLine="0"/>
        <w:rPr>
          <w:i w:val="1"/>
          <w:sz w:val="28"/>
          <w:szCs w:val="28"/>
        </w:rPr>
        <w:sectPr>
          <w:pgSz w:h="16840" w:w="11910" w:orient="portrait"/>
          <w:pgMar w:bottom="0" w:top="380" w:left="820" w:right="780" w:header="720" w:footer="720"/>
          <w:pgNumType w:start="1"/>
        </w:sectPr>
      </w:pPr>
      <w:r w:rsidDel="00000000" w:rsidR="00000000" w:rsidRPr="00000000">
        <w:rPr>
          <w:sz w:val="28"/>
          <w:szCs w:val="28"/>
          <w:rtl w:val="0"/>
        </w:rPr>
        <w:t xml:space="preserve">Ключевые слова: </w:t>
      </w:r>
      <w:r w:rsidDel="00000000" w:rsidR="00000000" w:rsidRPr="00000000">
        <w:rPr>
          <w:i w:val="1"/>
          <w:sz w:val="28"/>
          <w:szCs w:val="28"/>
          <w:rtl w:val="0"/>
        </w:rPr>
        <w:t xml:space="preserve">управление, мотивация, компенсация, организация, персонал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0" w:line="237" w:lineRule="auto"/>
        <w:ind w:left="102" w:right="113" w:firstLine="253.99999999999994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Переход России на рыночную модель экономики обусловило необходимость уч</w:t>
      </w:r>
      <w:r w:rsidDel="00000000" w:rsidR="00000000" w:rsidRPr="00000000">
        <w:rPr>
          <w:sz w:val="28"/>
          <w:szCs w:val="28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ным и практикам изучить накопленный мировой опыт в области менеджмента и управления человеческими ресурсами, в частности, вознаграждение труда 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[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Ветлужских 2019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]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102" w:right="113" w:firstLine="253.99999999999994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Решающим фактором в современной рыночной среде и конкурентной борьбе между организациями выступает персонал и его мотивация достижению поставленных целей и обусловленных бизнесом задач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10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[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Фокин 2018, с.17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]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2F">
      <w:pPr>
        <w:ind w:left="9346" w:firstLine="0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Таблица 1</w:t>
      </w:r>
    </w:p>
    <w:p w:rsidR="00000000" w:rsidDel="00000000" w:rsidP="00000000" w:rsidRDefault="00000000" w:rsidRPr="00000000" w14:paraId="00000030">
      <w:pPr>
        <w:spacing w:before="1" w:lineRule="auto"/>
        <w:ind w:left="3367" w:right="2702" w:hanging="615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Методы адаптации персонала в условиях традиционной и дистанционной занятости [Smith 2020]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2.0" w:type="dxa"/>
        <w:jc w:val="left"/>
        <w:tblInd w:w="22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117"/>
        <w:gridCol w:w="3111"/>
        <w:gridCol w:w="3414"/>
        <w:tblGridChange w:id="0">
          <w:tblGrid>
            <w:gridCol w:w="3117"/>
            <w:gridCol w:w="3111"/>
            <w:gridCol w:w="3414"/>
          </w:tblGrid>
        </w:tblGridChange>
      </w:tblGrid>
      <w:tr>
        <w:trPr>
          <w:cantSplit w:val="0"/>
          <w:trHeight w:val="417" w:hRule="atLeast"/>
          <w:tblHeader w:val="0"/>
        </w:trPr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0" w:line="240" w:lineRule="auto"/>
              <w:ind w:left="105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Этапы</w:t>
            </w:r>
          </w:p>
        </w:tc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2" w:lineRule="auto"/>
              <w:ind w:left="268" w:right="26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Адаптация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6" w:lineRule="auto"/>
              <w:ind w:left="268" w:right="26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 офисе</w:t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2" w:lineRule="auto"/>
              <w:ind w:left="117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Дистанционная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6" w:lineRule="auto"/>
              <w:ind w:left="118" w:right="10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адаптация</w:t>
            </w:r>
          </w:p>
        </w:tc>
      </w:tr>
      <w:tr>
        <w:trPr>
          <w:cantSplit w:val="0"/>
          <w:trHeight w:val="619" w:hRule="atLeast"/>
          <w:tblHeader w:val="0"/>
        </w:trPr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27" w:right="922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Знакомст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в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 с Компанией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0" w:lineRule="auto"/>
              <w:ind w:left="927" w:right="93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и руководством</w:t>
            </w:r>
          </w:p>
        </w:tc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2" w:lineRule="auto"/>
              <w:ind w:left="268" w:right="26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Личные встречи с руководством.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6" w:lineRule="auto"/>
              <w:ind w:left="1060" w:right="1053" w:firstLine="5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Экскурсия по компании</w:t>
            </w:r>
          </w:p>
        </w:tc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5" w:line="207" w:lineRule="auto"/>
              <w:ind w:left="110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Видеоконференция с руководителем.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7" w:lineRule="auto"/>
              <w:ind w:left="118" w:right="109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Видео (фильм) о компании</w:t>
            </w:r>
          </w:p>
        </w:tc>
      </w:tr>
      <w:tr>
        <w:trPr>
          <w:cantSplit w:val="0"/>
          <w:trHeight w:val="719" w:hRule="atLeast"/>
          <w:tblHeader w:val="0"/>
        </w:trPr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48" w:line="207" w:lineRule="auto"/>
              <w:ind w:left="927" w:right="92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Знакомство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7" w:lineRule="auto"/>
              <w:ind w:left="421" w:right="42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 коллективом или командой</w:t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268" w:right="262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Личное общение</w:t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118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Видеоконференция с командой / соцсети</w:t>
            </w:r>
          </w:p>
        </w:tc>
      </w:tr>
      <w:tr>
        <w:trPr>
          <w:cantSplit w:val="0"/>
          <w:trHeight w:val="306" w:hRule="atLeast"/>
          <w:tblHeader w:val="0"/>
        </w:trPr>
        <w:tc>
          <w:tcPr/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" w:line="240" w:lineRule="auto"/>
              <w:ind w:left="73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Адаптационный лист</w:t>
            </w:r>
          </w:p>
        </w:tc>
        <w:tc>
          <w:tcPr/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" w:line="240" w:lineRule="auto"/>
              <w:ind w:left="268" w:right="263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Бумажный вариант</w:t>
            </w:r>
          </w:p>
        </w:tc>
        <w:tc>
          <w:tcPr/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3" w:line="240" w:lineRule="auto"/>
              <w:ind w:left="118" w:right="10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Онлайн</w:t>
            </w:r>
          </w:p>
        </w:tc>
      </w:tr>
      <w:tr>
        <w:trPr>
          <w:cantSplit w:val="0"/>
          <w:trHeight w:val="412" w:hRule="atLeast"/>
          <w:tblHeader w:val="0"/>
        </w:trPr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2" w:lineRule="auto"/>
              <w:ind w:left="927" w:right="92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Тимбилдинги,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1" w:lineRule="auto"/>
              <w:ind w:left="927" w:right="92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корпоративы</w:t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2" w:lineRule="auto"/>
              <w:ind w:left="268" w:right="26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Личные встречи, игры,</w:t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1" w:lineRule="auto"/>
              <w:ind w:left="268" w:right="265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соревнования, выезды и т.д.</w:t>
            </w:r>
          </w:p>
        </w:tc>
        <w:tc>
          <w:tcPr/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5" w:line="240" w:lineRule="auto"/>
              <w:ind w:left="118" w:right="10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Игры онлайн</w:t>
            </w:r>
          </w:p>
        </w:tc>
      </w:tr>
      <w:tr>
        <w:trPr>
          <w:cantSplit w:val="0"/>
          <w:trHeight w:val="432" w:hRule="atLeast"/>
          <w:tblHeader w:val="0"/>
        </w:trPr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0" w:line="240" w:lineRule="auto"/>
              <w:ind w:left="927" w:right="92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Опросы</w:t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0" w:line="240" w:lineRule="auto"/>
              <w:ind w:left="268" w:right="26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Бумажный вариант / онлайн</w:t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0" w:line="240" w:lineRule="auto"/>
              <w:ind w:left="113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HRM-системы, GoogleForms</w:t>
            </w:r>
          </w:p>
        </w:tc>
      </w:tr>
      <w:tr>
        <w:trPr>
          <w:cantSplit w:val="0"/>
          <w:trHeight w:val="700" w:hRule="atLeast"/>
          <w:tblHeader w:val="0"/>
        </w:trPr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27" w:right="92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Обучение</w:t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68" w:right="26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Очно</w:t>
            </w:r>
          </w:p>
        </w:tc>
        <w:tc>
          <w:tcPr/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9" w:line="240" w:lineRule="auto"/>
              <w:ind w:left="825" w:right="226" w:hanging="591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LMS-системы, скрайбинг, обучающие 3D-игры, VR, AR и пр.</w:t>
            </w:r>
          </w:p>
        </w:tc>
      </w:tr>
      <w:tr>
        <w:trPr>
          <w:cantSplit w:val="0"/>
          <w:trHeight w:val="1214" w:hRule="atLeast"/>
          <w:tblHeader w:val="0"/>
        </w:trPr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806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Корпоративный PR</w:t>
            </w:r>
          </w:p>
        </w:tc>
        <w:tc>
          <w:tcPr/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77" w:right="866" w:hanging="5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Журналы, справочники, голосовые оповещения и пр.</w:t>
            </w:r>
          </w:p>
        </w:tc>
        <w:tc>
          <w:tcPr/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1" w:right="11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В онлайн формате на сайте компании, корпоративной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" w:right="109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социальной сети или лично на электронной почте работника.</w:t>
            </w:r>
          </w:p>
        </w:tc>
      </w:tr>
      <w:tr>
        <w:trPr>
          <w:cantSplit w:val="0"/>
          <w:trHeight w:val="830" w:hRule="atLeast"/>
          <w:tblHeader w:val="0"/>
        </w:trPr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60" w:right="940" w:firstLine="268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Система наставничества</w:t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268" w:right="26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Личные встречи</w:t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06" w:lineRule="auto"/>
              <w:ind w:left="350" w:right="340" w:hanging="3.999999999999986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Онлайн (видеоконференции, чаты, режимы трансляции экрана и одновременной работы нескольких пользователей и пр.)</w:t>
            </w:r>
          </w:p>
        </w:tc>
      </w:tr>
    </w:tbl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2" w:right="124" w:firstLine="253.99999999999994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связи с этим каждая организация самостоятельно определяет векторные приоритеты и разрабатывает компенсационную политику с формированием компенсационного пакета как дополнительного стимула работника к труду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superscript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61">
      <w:pPr>
        <w:spacing w:before="1" w:line="249" w:lineRule="auto"/>
        <w:ind w:left="1278" w:right="1285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………………….</w:t>
      </w:r>
    </w:p>
    <w:p w:rsidR="00000000" w:rsidDel="00000000" w:rsidP="00000000" w:rsidRDefault="00000000" w:rsidRPr="00000000" w14:paraId="00000062">
      <w:pPr>
        <w:spacing w:line="272" w:lineRule="auto"/>
        <w:ind w:left="0" w:right="8581" w:firstLine="0"/>
        <w:jc w:val="left"/>
        <w:rPr>
          <w:i w:val="1"/>
          <w:sz w:val="28"/>
          <w:szCs w:val="28"/>
        </w:rPr>
      </w:pPr>
      <w:r w:rsidDel="00000000" w:rsidR="00000000" w:rsidRPr="00000000">
        <w:rPr>
          <w:i w:val="1"/>
          <w:sz w:val="28"/>
          <w:szCs w:val="28"/>
          <w:rtl w:val="0"/>
        </w:rPr>
        <w:t xml:space="preserve">Литература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28"/>
        </w:tabs>
        <w:spacing w:after="0" w:before="92" w:line="242" w:lineRule="auto"/>
        <w:ind w:left="102" w:right="121" w:firstLine="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Ветлужских 2019 </w:t>
      </w:r>
      <w:r w:rsidDel="00000000" w:rsidR="00000000" w:rsidRPr="00000000">
        <w:rPr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Ветлужских Е.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Мотивация и оплата труда // Инструменты. Методики. Практика. №3, 2019. С.15-23.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28"/>
        </w:tabs>
        <w:spacing w:after="0" w:before="0" w:line="246.99999999999994" w:lineRule="auto"/>
        <w:ind w:left="327" w:right="0" w:hanging="226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Фокин 2018 </w:t>
      </w:r>
      <w:r w:rsidDel="00000000" w:rsidR="00000000" w:rsidRPr="00000000">
        <w:rPr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Фокин А.С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Политика доходов и заработной платы. Ростов на Дону: Феникс, 2008. 384 с.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23"/>
        </w:tabs>
        <w:spacing w:after="0" w:before="1" w:line="240" w:lineRule="auto"/>
        <w:ind w:left="322" w:right="0" w:hanging="221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Smith 2020 </w:t>
      </w:r>
      <w:r w:rsidDel="00000000" w:rsidR="00000000" w:rsidRPr="00000000">
        <w:rPr>
          <w:sz w:val="28"/>
          <w:szCs w:val="28"/>
          <w:rtl w:val="0"/>
        </w:rPr>
        <w:t xml:space="preserve">—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Smith R.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History of country. L.: Routledge, 2020. 450 p.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152400</wp:posOffset>
                </wp:positionV>
                <wp:extent cx="1829435" cy="6350"/>
                <wp:effectExtent b="0" l="0" r="0" t="0"/>
                <wp:wrapTopAndBottom distB="0" distT="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0" y="0"/>
                          <a:ext cx="182943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63500</wp:posOffset>
                </wp:positionH>
                <wp:positionV relativeFrom="paragraph">
                  <wp:posOffset>152400</wp:posOffset>
                </wp:positionV>
                <wp:extent cx="1829435" cy="6350"/>
                <wp:effectExtent b="0" l="0" r="0" t="0"/>
                <wp:wrapTopAndBottom distB="0" dist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9435" cy="6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7" w:line="240" w:lineRule="auto"/>
        <w:ind w:left="1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superscript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Dooley R. The Hidden Danger in Product Bundles. 2012 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[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Электронный ресурс</w:t>
      </w:r>
      <w:r w:rsidDel="00000000" w:rsidR="00000000" w:rsidRPr="00000000">
        <w:rPr>
          <w:rFonts w:ascii="Noto Sans Symbols" w:cs="Noto Sans Symbols" w:eastAsia="Noto Sans Symbols" w:hAnsi="Noto Sans Symbols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]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URL: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http://www.neurosciencemarketing.com/blog/articles/bundling.htm</w:t>
        </w:r>
      </w:hyperlink>
      <w:hyperlink r:id="rId8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8"/>
            <w:szCs w:val="28"/>
            <w:u w:val="none"/>
            <w:shd w:fill="auto" w:val="clear"/>
            <w:vertAlign w:val="baseline"/>
            <w:rtl w:val="0"/>
          </w:rPr>
          <w:t xml:space="preserve"> 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(дата обращения 13.02.2023).</w:t>
      </w:r>
    </w:p>
    <w:p w:rsidR="00000000" w:rsidDel="00000000" w:rsidP="00000000" w:rsidRDefault="00000000" w:rsidRPr="00000000" w14:paraId="0000007A">
      <w:pPr>
        <w:rPr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sectPr>
      <w:type w:val="nextPage"/>
      <w:pgSz w:h="16840" w:w="11910" w:orient="portrait"/>
      <w:pgMar w:bottom="280" w:top="620" w:left="820" w:right="78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02" w:hanging="226.00000000000003"/>
      </w:pPr>
      <w:rPr>
        <w:rFonts w:ascii="Times New Roman" w:cs="Times New Roman" w:eastAsia="Times New Roman" w:hAnsi="Times New Roman"/>
        <w:sz w:val="22"/>
        <w:szCs w:val="22"/>
      </w:rPr>
    </w:lvl>
    <w:lvl w:ilvl="1">
      <w:start w:val="0"/>
      <w:numFmt w:val="bullet"/>
      <w:lvlText w:val="•"/>
      <w:lvlJc w:val="left"/>
      <w:pPr>
        <w:ind w:left="1120" w:hanging="226"/>
      </w:pPr>
      <w:rPr/>
    </w:lvl>
    <w:lvl w:ilvl="2">
      <w:start w:val="0"/>
      <w:numFmt w:val="bullet"/>
      <w:lvlText w:val="•"/>
      <w:lvlJc w:val="left"/>
      <w:pPr>
        <w:ind w:left="2141" w:hanging="226"/>
      </w:pPr>
      <w:rPr/>
    </w:lvl>
    <w:lvl w:ilvl="3">
      <w:start w:val="0"/>
      <w:numFmt w:val="bullet"/>
      <w:lvlText w:val="•"/>
      <w:lvlJc w:val="left"/>
      <w:pPr>
        <w:ind w:left="3162" w:hanging="226.00000000000045"/>
      </w:pPr>
      <w:rPr/>
    </w:lvl>
    <w:lvl w:ilvl="4">
      <w:start w:val="0"/>
      <w:numFmt w:val="bullet"/>
      <w:lvlText w:val="•"/>
      <w:lvlJc w:val="left"/>
      <w:pPr>
        <w:ind w:left="4183" w:hanging="226"/>
      </w:pPr>
      <w:rPr/>
    </w:lvl>
    <w:lvl w:ilvl="5">
      <w:start w:val="0"/>
      <w:numFmt w:val="bullet"/>
      <w:lvlText w:val="•"/>
      <w:lvlJc w:val="left"/>
      <w:pPr>
        <w:ind w:left="5204" w:hanging="226"/>
      </w:pPr>
      <w:rPr/>
    </w:lvl>
    <w:lvl w:ilvl="6">
      <w:start w:val="0"/>
      <w:numFmt w:val="bullet"/>
      <w:lvlText w:val="•"/>
      <w:lvlJc w:val="left"/>
      <w:pPr>
        <w:ind w:left="6225" w:hanging="226"/>
      </w:pPr>
      <w:rPr/>
    </w:lvl>
    <w:lvl w:ilvl="7">
      <w:start w:val="0"/>
      <w:numFmt w:val="bullet"/>
      <w:lvlText w:val="•"/>
      <w:lvlJc w:val="left"/>
      <w:pPr>
        <w:ind w:left="7246" w:hanging="226"/>
      </w:pPr>
      <w:rPr/>
    </w:lvl>
    <w:lvl w:ilvl="8">
      <w:start w:val="0"/>
      <w:numFmt w:val="bullet"/>
      <w:lvlText w:val="•"/>
      <w:lvlJc w:val="left"/>
      <w:pPr>
        <w:ind w:left="8267" w:hanging="226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807" w:hanging="163.99999999999991"/>
    </w:pPr>
    <w:rPr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://www.neurosciencemarketing.com/blog/articles/bundling.htm" TargetMode="External"/><Relationship Id="rId8" Type="http://schemas.openxmlformats.org/officeDocument/2006/relationships/hyperlink" Target="http://www.neurosciencemarketing.com/blog/articles/bundling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